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6705264B" w:rsidR="009D4A32" w:rsidRPr="005708E7" w:rsidRDefault="00C85BC4" w:rsidP="1D8DA5AC">
            <w:pPr>
              <w:spacing w:before="60" w:after="60"/>
              <w:jc w:val="both"/>
              <w:rPr>
                <w:rFonts w:ascii="Arial" w:hAnsi="Arial" w:cs="Arial"/>
                <w:b/>
                <w:bCs/>
                <w:sz w:val="20"/>
              </w:rPr>
            </w:pPr>
            <w:r>
              <w:rPr>
                <w:rFonts w:ascii="Arial" w:hAnsi="Arial" w:cs="Arial"/>
                <w:b/>
                <w:bCs/>
                <w:sz w:val="20"/>
              </w:rPr>
              <w:t>Employer Services Advisor – Fixed Term</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500E0EA5" w:rsidR="009D4A32" w:rsidRPr="005708E7" w:rsidRDefault="00C85BC4" w:rsidP="4DE7326C">
            <w:pPr>
              <w:spacing w:before="60" w:after="60"/>
              <w:jc w:val="both"/>
              <w:rPr>
                <w:rFonts w:ascii="Arial" w:hAnsi="Arial" w:cs="Arial"/>
                <w:b/>
                <w:bCs/>
                <w:sz w:val="20"/>
              </w:rPr>
            </w:pPr>
            <w:r>
              <w:rPr>
                <w:rFonts w:ascii="Arial" w:hAnsi="Arial" w:cs="Arial"/>
                <w:b/>
                <w:bCs/>
                <w:sz w:val="20"/>
              </w:rPr>
              <w:t>Friday 28 March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2D5" w14:textId="77777777" w:rsidR="002E07E2" w:rsidRDefault="002E07E2">
      <w:r>
        <w:separator/>
      </w:r>
    </w:p>
  </w:endnote>
  <w:endnote w:type="continuationSeparator" w:id="0">
    <w:p w14:paraId="51CB6864" w14:textId="77777777" w:rsidR="002E07E2" w:rsidRDefault="002E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5A4D" w14:textId="77777777" w:rsidR="002E07E2" w:rsidRDefault="002E07E2">
      <w:r>
        <w:separator/>
      </w:r>
    </w:p>
  </w:footnote>
  <w:footnote w:type="continuationSeparator" w:id="0">
    <w:p w14:paraId="27937397" w14:textId="77777777" w:rsidR="002E07E2" w:rsidRDefault="002E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07E2"/>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5BC4"/>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8187</Characters>
  <Application>Microsoft Office Word</Application>
  <DocSecurity>0</DocSecurity>
  <Lines>68</Lines>
  <Paragraphs>19</Paragraphs>
  <ScaleCrop>false</ScaleCrop>
  <Company>Myerscough College</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2025-02-24T11:34:00Z</dcterms:created>
  <dcterms:modified xsi:type="dcterms:W3CDTF">2025-02-24T11:34:00Z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